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544B06AE">
        <w:trPr>
          <w:trHeight w:val="1174"/>
        </w:trPr>
        <w:tc>
          <w:tcPr>
            <w:tcW w:w="5000" w:type="pct"/>
            <w:gridSpan w:val="6"/>
            <w:shd w:val="clear" w:color="auto" w:fill="8EAADB" w:themeFill="accent1" w:themeFillTint="99"/>
          </w:tcPr>
          <w:p w14:paraId="62206175" w14:textId="63BB82AE" w:rsidR="0007685A" w:rsidRPr="00D77B11" w:rsidRDefault="000B1D1F" w:rsidP="0007685A">
            <w:pPr>
              <w:pStyle w:val="TableTitle"/>
              <w:spacing w:before="120" w:after="120"/>
              <w:jc w:val="center"/>
              <w:rPr>
                <w:rFonts w:asciiTheme="minorHAnsi" w:hAnsiTheme="minorHAnsi" w:cstheme="minorHAnsi"/>
                <w:sz w:val="32"/>
                <w:szCs w:val="32"/>
              </w:rPr>
            </w:pPr>
            <w:bookmarkStart w:id="0" w:name="_Hlk32083017"/>
            <w:r>
              <w:rPr>
                <w:rFonts w:asciiTheme="minorHAnsi" w:hAnsiTheme="minorHAnsi" w:cstheme="minorHAnsi"/>
                <w:noProof/>
                <w:sz w:val="32"/>
                <w:szCs w:val="32"/>
                <w:lang w:eastAsia="en-GB"/>
              </w:rPr>
              <w:drawing>
                <wp:anchor distT="0" distB="0" distL="114300" distR="114300" simplePos="0" relativeHeight="251659264" behindDoc="0" locked="0" layoutInCell="1" allowOverlap="1" wp14:anchorId="7E9DBDF7" wp14:editId="073C2B90">
                  <wp:simplePos x="0" y="0"/>
                  <wp:positionH relativeFrom="column">
                    <wp:posOffset>635</wp:posOffset>
                  </wp:positionH>
                  <wp:positionV relativeFrom="paragraph">
                    <wp:posOffset>-12065</wp:posOffset>
                  </wp:positionV>
                  <wp:extent cx="762000" cy="823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823595"/>
                          </a:xfrm>
                          <a:prstGeom prst="rect">
                            <a:avLst/>
                          </a:prstGeom>
                        </pic:spPr>
                      </pic:pic>
                    </a:graphicData>
                  </a:graphic>
                </wp:anchor>
              </w:drawing>
            </w:r>
            <w:r w:rsidR="008D2A63">
              <w:rPr>
                <w:noProof/>
              </w:rPr>
              <w:drawing>
                <wp:anchor distT="0" distB="0" distL="114300" distR="114300" simplePos="0" relativeHeight="251658240" behindDoc="0" locked="0" layoutInCell="1" allowOverlap="1" wp14:anchorId="79458092" wp14:editId="781CEDEA">
                  <wp:simplePos x="0" y="0"/>
                  <wp:positionH relativeFrom="column">
                    <wp:posOffset>7840290</wp:posOffset>
                  </wp:positionH>
                  <wp:positionV relativeFrom="paragraph">
                    <wp:posOffset>74378</wp:posOffset>
                  </wp:positionV>
                  <wp:extent cx="1647454" cy="73951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4263" cy="742568"/>
                          </a:xfrm>
                          <a:prstGeom prst="rect">
                            <a:avLst/>
                          </a:prstGeom>
                          <a:noFill/>
                          <a:ln>
                            <a:noFill/>
                          </a:ln>
                        </pic:spPr>
                      </pic:pic>
                    </a:graphicData>
                  </a:graphic>
                  <wp14:sizeRelH relativeFrom="page">
                    <wp14:pctWidth>0</wp14:pctWidth>
                  </wp14:sizeRelH>
                  <wp14:sizeRelV relativeFrom="page">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41087EF8" w:rsidR="0007685A" w:rsidRDefault="005F3024" w:rsidP="544B06AE">
            <w:pPr>
              <w:pStyle w:val="TableTitle"/>
              <w:spacing w:before="120" w:after="120"/>
              <w:jc w:val="center"/>
              <w:rPr>
                <w:rFonts w:asciiTheme="minorHAnsi" w:hAnsiTheme="minorHAnsi" w:cstheme="minorBidi"/>
                <w:color w:val="000000" w:themeColor="text1"/>
                <w:sz w:val="32"/>
                <w:szCs w:val="32"/>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7DFBD41F" w14:textId="77777777" w:rsidR="008D2A63" w:rsidRPr="008D2A63" w:rsidRDefault="008D2A63" w:rsidP="544B06AE">
            <w:pPr>
              <w:pStyle w:val="TableTitle"/>
              <w:spacing w:before="120" w:after="120"/>
              <w:jc w:val="center"/>
              <w:rPr>
                <w:rFonts w:asciiTheme="minorHAnsi" w:hAnsiTheme="minorHAnsi" w:cstheme="minorBidi"/>
                <w:color w:val="FFFFFF" w:themeColor="background1"/>
                <w:sz w:val="16"/>
                <w:szCs w:val="16"/>
              </w:rPr>
            </w:pPr>
          </w:p>
          <w:p w14:paraId="56EF71AB" w14:textId="7ACC73D6" w:rsidR="0007685A" w:rsidRPr="008D2A63" w:rsidRDefault="66F8A1C1" w:rsidP="008D2A63">
            <w:pPr>
              <w:spacing w:before="120" w:after="120" w:line="257" w:lineRule="auto"/>
              <w:jc w:val="center"/>
            </w:pPr>
            <w:r w:rsidRPr="544B06AE">
              <w:rPr>
                <w:rFonts w:ascii="Calibri" w:eastAsia="Calibri" w:hAnsi="Calibri" w:cs="Calibri"/>
              </w:rPr>
              <w:t xml:space="preserve">Our </w:t>
            </w:r>
            <w:r w:rsidR="008D2A63">
              <w:rPr>
                <w:rFonts w:ascii="Calibri" w:eastAsia="Calibri" w:hAnsi="Calibri" w:cs="Calibri"/>
              </w:rPr>
              <w:t>c</w:t>
            </w:r>
            <w:r w:rsidRPr="544B06AE">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w:t>
            </w:r>
            <w:proofErr w:type="gramStart"/>
            <w:r w:rsidRPr="00D77B11">
              <w:rPr>
                <w:rFonts w:cstheme="minorHAnsi"/>
              </w:rPr>
              <w:t>in order to</w:t>
            </w:r>
            <w:proofErr w:type="gramEnd"/>
            <w:r w:rsidRPr="00D77B11">
              <w:rPr>
                <w:rFonts w:cstheme="minorHAnsi"/>
              </w:rPr>
              <w:t xml:space="preserve">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544B06AE">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 xml:space="preserve">Children’s command of vocabulary is fundamental to learning and progress across the curriculum. Vocabulary is developed actively, building systematically on pupil’s current </w:t>
            </w:r>
            <w:proofErr w:type="gramStart"/>
            <w:r w:rsidRPr="00D77B11">
              <w:rPr>
                <w:rFonts w:asciiTheme="minorHAnsi" w:hAnsiTheme="minorHAnsi" w:cstheme="minorHAnsi"/>
                <w:b w:val="0"/>
                <w:sz w:val="22"/>
                <w:szCs w:val="22"/>
              </w:rPr>
              <w:t>knowledge</w:t>
            </w:r>
            <w:proofErr w:type="gramEnd"/>
            <w:r w:rsidRPr="00D77B11">
              <w:rPr>
                <w:rFonts w:asciiTheme="minorHAnsi" w:hAnsiTheme="minorHAnsi" w:cstheme="minorHAnsi"/>
                <w:b w:val="0"/>
                <w:sz w:val="22"/>
                <w:szCs w:val="22"/>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1873CF" w:rsidRPr="00D77B11" w14:paraId="1218F554" w14:textId="77777777" w:rsidTr="544B06AE">
        <w:trPr>
          <w:trHeight w:val="1033"/>
        </w:trPr>
        <w:tc>
          <w:tcPr>
            <w:tcW w:w="1250" w:type="pct"/>
          </w:tcPr>
          <w:p w14:paraId="0C0BAFA9" w14:textId="11820907" w:rsidR="001873CF" w:rsidRPr="000F053B" w:rsidRDefault="001873CF" w:rsidP="001873CF">
            <w:pPr>
              <w:rPr>
                <w:rFonts w:cstheme="minorHAnsi"/>
                <w:b/>
              </w:rPr>
            </w:pPr>
            <w:r w:rsidRPr="000F053B">
              <w:rPr>
                <w:rFonts w:cstheme="minorHAnsi"/>
                <w:b/>
              </w:rPr>
              <w:t>Maths specific vocabulary</w:t>
            </w:r>
          </w:p>
          <w:p w14:paraId="77576722" w14:textId="6EAEC129" w:rsidR="001873CF" w:rsidRPr="000F053B" w:rsidRDefault="001873CF" w:rsidP="001873CF">
            <w:pPr>
              <w:rPr>
                <w:rFonts w:cstheme="minorHAnsi"/>
              </w:rPr>
            </w:pPr>
            <w:r w:rsidRPr="000F053B">
              <w:rPr>
                <w:rFonts w:cstheme="minorHAnsi"/>
              </w:rPr>
              <w:t xml:space="preserve">Rich maths vocabulary is modelled and discussed by class teachers and pupils. The expectations are high for children to consistently use accurate, </w:t>
            </w:r>
            <w:proofErr w:type="gramStart"/>
            <w:r w:rsidRPr="000F053B">
              <w:rPr>
                <w:rFonts w:cstheme="minorHAnsi"/>
              </w:rPr>
              <w:t>concise</w:t>
            </w:r>
            <w:proofErr w:type="gramEnd"/>
            <w:r w:rsidRPr="000F053B">
              <w:rPr>
                <w:rFonts w:cstheme="minorHAnsi"/>
              </w:rPr>
              <w:t xml:space="preserv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images, </w:t>
            </w:r>
            <w:proofErr w:type="gramStart"/>
            <w:r w:rsidRPr="000F053B">
              <w:rPr>
                <w:rFonts w:cstheme="minorHAnsi"/>
              </w:rPr>
              <w:t>numbers</w:t>
            </w:r>
            <w:proofErr w:type="gramEnd"/>
            <w:r w:rsidRPr="000F053B">
              <w:rPr>
                <w:rFonts w:cstheme="minorHAnsi"/>
              </w:rPr>
              <w:t xml:space="preserve"> and symbols for the children to refer to and to support their learning. The focus on ‘maths talk’ is evident throughout the lesson but </w:t>
            </w:r>
            <w:proofErr w:type="gramStart"/>
            <w:r w:rsidRPr="000F053B">
              <w:rPr>
                <w:rFonts w:cstheme="minorHAnsi"/>
              </w:rPr>
              <w:t>in particular as</w:t>
            </w:r>
            <w:proofErr w:type="gramEnd"/>
            <w:r w:rsidRPr="000F053B">
              <w:rPr>
                <w:rFonts w:cstheme="minorHAnsi"/>
              </w:rPr>
              <w:t xml:space="preserve"> part of our look-think-talk section which happens during flashback 4. We encourage talk with talk partners, on their tables or whole-class discussions. By giving the children these opportunities to expand on their thinking and share their reasoning, they will develop their conceptual </w:t>
            </w:r>
            <w:r w:rsidRPr="000F053B">
              <w:rPr>
                <w:rFonts w:cstheme="minorHAnsi"/>
              </w:rPr>
              <w:lastRenderedPageBreak/>
              <w:t>understanding and make connections between number facts.</w:t>
            </w:r>
          </w:p>
          <w:p w14:paraId="55FE93BF" w14:textId="50CF72DB" w:rsidR="001873CF" w:rsidRPr="000F053B" w:rsidRDefault="001873CF" w:rsidP="001873CF">
            <w:pPr>
              <w:rPr>
                <w:rFonts w:cstheme="minorHAnsi"/>
              </w:rPr>
            </w:pPr>
          </w:p>
        </w:tc>
        <w:tc>
          <w:tcPr>
            <w:tcW w:w="1250" w:type="pct"/>
            <w:gridSpan w:val="2"/>
          </w:tcPr>
          <w:p w14:paraId="704A3B27" w14:textId="2DB3FF78" w:rsidR="001873CF" w:rsidRPr="001E1FDB" w:rsidRDefault="001873CF" w:rsidP="001873CF">
            <w:pPr>
              <w:rPr>
                <w:rFonts w:cstheme="minorHAnsi"/>
                <w:b/>
              </w:rPr>
            </w:pPr>
            <w:r w:rsidRPr="001E1FDB">
              <w:rPr>
                <w:rFonts w:cstheme="minorHAnsi"/>
                <w:b/>
              </w:rPr>
              <w:lastRenderedPageBreak/>
              <w:t>Planning</w:t>
            </w:r>
          </w:p>
          <w:p w14:paraId="627B3E71" w14:textId="397FE9B1" w:rsidR="001873CF" w:rsidRPr="00D77B11" w:rsidRDefault="001873CF" w:rsidP="001873CF">
            <w:proofErr w:type="gramStart"/>
            <w:r w:rsidRPr="001E1FDB">
              <w:t>Maths</w:t>
            </w:r>
            <w:proofErr w:type="gramEnd"/>
            <w:r w:rsidRPr="001E1FDB">
              <w:t xml:space="preserve"> mastery</w:t>
            </w:r>
            <w:r w:rsidRPr="001E1FDB">
              <w:rPr>
                <w:i/>
                <w:iCs/>
              </w:rPr>
              <w:t xml:space="preserve"> </w:t>
            </w:r>
            <w:r w:rsidRPr="001E1FDB">
              <w:t>is</w:t>
            </w:r>
            <w:r w:rsidRPr="7CEA1591">
              <w:t xml:space="preserve"> a core driver of our teaching and learning. The small steps are structured through White Rose Maths and curriculum coverage is also dictated by White Rose. This resource is complemented by fluency, problem-solving and reasoning tasks adapted from a variety of other sources, such as Deepening Understanding. The planning ensures that all learners are challenged at an appropriate level and support is allocated accordingly</w:t>
            </w:r>
            <w:r>
              <w:t xml:space="preserve">. </w:t>
            </w:r>
            <w:r w:rsidRPr="7CEA1591">
              <w:t>This is informed by</w:t>
            </w:r>
            <w:r>
              <w:t xml:space="preserve"> all lessons having discover tasks and the opportunity for a ‘progress pitstop’ whereby learners think &amp; support one another</w:t>
            </w:r>
            <w:r w:rsidRPr="7CEA1591">
              <w:t>. Depending on class structure, as mixed-age classes dictate, some year groups may receive separate lesson inputs by the Teacher and/or HLTA and some will share lesson inputs.</w:t>
            </w:r>
          </w:p>
          <w:p w14:paraId="2276F702" w14:textId="488B5A48" w:rsidR="001873CF" w:rsidRPr="00D77B11" w:rsidRDefault="001873CF" w:rsidP="001873CF">
            <w:pPr>
              <w:rPr>
                <w:rFonts w:cstheme="minorHAnsi"/>
                <w:highlight w:val="yellow"/>
              </w:rPr>
            </w:pPr>
          </w:p>
        </w:tc>
        <w:tc>
          <w:tcPr>
            <w:tcW w:w="1250" w:type="pct"/>
            <w:gridSpan w:val="2"/>
          </w:tcPr>
          <w:p w14:paraId="702D68FB" w14:textId="77777777" w:rsidR="001873CF" w:rsidRPr="00D77B11" w:rsidRDefault="001873CF" w:rsidP="001873CF">
            <w:pPr>
              <w:rPr>
                <w:b/>
                <w:bCs/>
              </w:rPr>
            </w:pPr>
            <w:r w:rsidRPr="7CEA1591">
              <w:rPr>
                <w:b/>
                <w:bCs/>
              </w:rPr>
              <w:t>Lesson structure and class management</w:t>
            </w:r>
          </w:p>
          <w:p w14:paraId="2F381860" w14:textId="77777777" w:rsidR="00A81F26" w:rsidRDefault="001873CF" w:rsidP="001873CF">
            <w:r w:rsidRPr="7CEA1591">
              <w:t xml:space="preserve">The focus on ‘maths talk’ is evident with talk partners, </w:t>
            </w:r>
            <w:r>
              <w:t>table talking</w:t>
            </w:r>
            <w:r w:rsidRPr="7CEA1591">
              <w:t xml:space="preserve">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w:t>
            </w:r>
          </w:p>
          <w:p w14:paraId="1921617E" w14:textId="5979DF72" w:rsidR="001873CF" w:rsidRPr="003A11BF" w:rsidRDefault="00A81F26" w:rsidP="001873CF">
            <w:r>
              <w:t>We are in the process of embedding CAPED as</w:t>
            </w:r>
            <w:r w:rsidR="001873CF" w:rsidRPr="7CEA1591">
              <w:t xml:space="preserve"> </w:t>
            </w:r>
            <w:r w:rsidRPr="00501739">
              <w:rPr>
                <w:rFonts w:cstheme="minorHAnsi"/>
              </w:rPr>
              <w:t>our core self-editing and feedback model</w:t>
            </w:r>
            <w:r>
              <w:rPr>
                <w:rFonts w:cstheme="minorHAnsi"/>
              </w:rPr>
              <w:t xml:space="preserve"> (</w:t>
            </w:r>
            <w:r>
              <w:rPr>
                <w:rFonts w:cstheme="minorHAnsi"/>
                <w:b/>
                <w:bCs/>
              </w:rPr>
              <w:t>C</w:t>
            </w:r>
            <w:r>
              <w:rPr>
                <w:rFonts w:cstheme="minorHAnsi"/>
              </w:rPr>
              <w:t xml:space="preserve">heck, </w:t>
            </w:r>
            <w:proofErr w:type="gramStart"/>
            <w:r w:rsidRPr="00A81F26">
              <w:rPr>
                <w:rFonts w:cstheme="minorHAnsi"/>
                <w:b/>
                <w:bCs/>
              </w:rPr>
              <w:t>A</w:t>
            </w:r>
            <w:r>
              <w:rPr>
                <w:rFonts w:cstheme="minorHAnsi"/>
              </w:rPr>
              <w:t>nother</w:t>
            </w:r>
            <w:proofErr w:type="gramEnd"/>
            <w:r>
              <w:rPr>
                <w:rFonts w:cstheme="minorHAnsi"/>
              </w:rPr>
              <w:t xml:space="preserve"> way, </w:t>
            </w:r>
            <w:r w:rsidR="003A11BF" w:rsidRPr="003A11BF">
              <w:rPr>
                <w:rFonts w:cstheme="minorHAnsi"/>
                <w:b/>
                <w:bCs/>
              </w:rPr>
              <w:t>P</w:t>
            </w:r>
            <w:r w:rsidR="003A11BF">
              <w:rPr>
                <w:rFonts w:cstheme="minorHAnsi"/>
              </w:rPr>
              <w:t xml:space="preserve">rove it, </w:t>
            </w:r>
            <w:r w:rsidR="003A11BF">
              <w:rPr>
                <w:rFonts w:cstheme="minorHAnsi"/>
                <w:b/>
                <w:bCs/>
              </w:rPr>
              <w:t>E</w:t>
            </w:r>
            <w:r w:rsidR="003A11BF">
              <w:rPr>
                <w:rFonts w:cstheme="minorHAnsi"/>
              </w:rPr>
              <w:t xml:space="preserve">xplain, </w:t>
            </w:r>
            <w:r w:rsidR="003A11BF">
              <w:rPr>
                <w:rFonts w:cstheme="minorHAnsi"/>
                <w:b/>
                <w:bCs/>
              </w:rPr>
              <w:t>D</w:t>
            </w:r>
            <w:r w:rsidR="003A11BF">
              <w:rPr>
                <w:rFonts w:cstheme="minorHAnsi"/>
              </w:rPr>
              <w:t>raw</w:t>
            </w:r>
            <w:r w:rsidR="0023112F">
              <w:rPr>
                <w:rFonts w:cstheme="minorHAnsi"/>
              </w:rPr>
              <w:t>)</w:t>
            </w:r>
          </w:p>
          <w:p w14:paraId="30A5DF70" w14:textId="77777777" w:rsidR="001873CF" w:rsidRPr="00D77B11" w:rsidRDefault="001873CF" w:rsidP="001873CF">
            <w:r w:rsidRPr="7CEA1591">
              <w:t>In KS2, units begin and end with an elicitation task to inform planning.</w:t>
            </w:r>
          </w:p>
          <w:p w14:paraId="48EEBB6D" w14:textId="66799C29" w:rsidR="001873CF" w:rsidRPr="00D77B11" w:rsidRDefault="001873CF" w:rsidP="001873CF">
            <w:pPr>
              <w:rPr>
                <w:rFonts w:cstheme="minorHAnsi"/>
                <w:highlight w:val="yellow"/>
              </w:rPr>
            </w:pPr>
            <w:r w:rsidRPr="7CEA1591">
              <w:t xml:space="preserve">Lessons typically begin with independent fluency tasks (Anchor tasks) to gauge understanding. The main body of the lesson will include concrete, pictorial and abstract forms of mathematical learning and opportunities to develop fluency, problem-solving and reasoning as well </w:t>
            </w:r>
            <w:r w:rsidRPr="7CEA1591">
              <w:lastRenderedPageBreak/>
              <w:t xml:space="preserve">as a focus on addressing potential misconceptions throughout. </w:t>
            </w:r>
          </w:p>
        </w:tc>
        <w:tc>
          <w:tcPr>
            <w:tcW w:w="1250" w:type="pct"/>
          </w:tcPr>
          <w:p w14:paraId="4A344DF0" w14:textId="1AF05DFE" w:rsidR="001873CF" w:rsidRPr="00815F9E" w:rsidRDefault="001873CF" w:rsidP="001873CF">
            <w:pPr>
              <w:rPr>
                <w:rFonts w:cstheme="minorHAnsi"/>
                <w:b/>
              </w:rPr>
            </w:pPr>
            <w:r w:rsidRPr="00815F9E">
              <w:rPr>
                <w:rFonts w:cstheme="minorHAnsi"/>
                <w:b/>
              </w:rPr>
              <w:lastRenderedPageBreak/>
              <w:t>Working walls and resources</w:t>
            </w:r>
          </w:p>
          <w:p w14:paraId="290DD108" w14:textId="23BCA8CC" w:rsidR="001873CF" w:rsidRPr="00D77B11" w:rsidRDefault="001873CF" w:rsidP="001873CF">
            <w:pPr>
              <w:rPr>
                <w:rFonts w:cstheme="minorHAnsi"/>
                <w:highlight w:val="yellow"/>
              </w:rPr>
            </w:pPr>
            <w:r w:rsidRPr="00815F9E">
              <w:rPr>
                <w:rFonts w:cstheme="minorHAnsi"/>
              </w:rPr>
              <w:t xml:space="preserve">Each class has a mathematics working wall to support learning in mathematics.  It is a public display of the learning process which evolves </w:t>
            </w:r>
            <w:r>
              <w:rPr>
                <w:rFonts w:cstheme="minorHAnsi"/>
              </w:rPr>
              <w:t>and</w:t>
            </w:r>
            <w:r w:rsidRPr="00815F9E">
              <w:rPr>
                <w:rFonts w:cstheme="minorHAnsi"/>
              </w:rPr>
              <w:t xml:space="preserve">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501739" w:rsidRDefault="00957294" w:rsidP="00957294">
            <w:pPr>
              <w:rPr>
                <w:rFonts w:cstheme="minorHAnsi"/>
                <w:b/>
              </w:rPr>
            </w:pPr>
            <w:r w:rsidRPr="00501739">
              <w:rPr>
                <w:rFonts w:cstheme="minorHAnsi"/>
                <w:b/>
              </w:rPr>
              <w:t>AFL, Self-editing &amp; feedback</w:t>
            </w:r>
          </w:p>
          <w:p w14:paraId="6C3C543D" w14:textId="3DAB84B0" w:rsidR="00042917" w:rsidRDefault="00042917" w:rsidP="00042917">
            <w:r w:rsidRPr="7CEA1591">
              <w:t>Children will respond/correct errors with a ‘purple polish’ pen post-marking. This can be done individually, with an adult or with a peer.</w:t>
            </w:r>
            <w:r w:rsidR="00ED2963">
              <w:t xml:space="preserve"> This then informs the children that would benefit from our ‘Mop-Up-Maths’ time, whereby we can offer </w:t>
            </w:r>
            <w:r w:rsidR="00076EAF">
              <w:t>same-day</w:t>
            </w:r>
            <w:r w:rsidR="00ED2963">
              <w:t xml:space="preserve"> intervention.</w:t>
            </w:r>
            <w:r w:rsidR="00076EAF">
              <w:t xml:space="preserve"> </w:t>
            </w:r>
            <w:r w:rsidR="00ED2963">
              <w:t xml:space="preserve"> </w:t>
            </w:r>
            <w:r w:rsidR="002E43CA">
              <w:t>We firmly believe in a ‘keep up now, not catch up later’ approach an</w:t>
            </w:r>
            <w:r w:rsidR="00BB2E48">
              <w:t>d</w:t>
            </w:r>
            <w:r w:rsidR="002E43CA">
              <w:t xml:space="preserve"> ‘Mop-up-Maths’ time is pivotal to this. </w:t>
            </w:r>
          </w:p>
          <w:p w14:paraId="6178891E" w14:textId="77777777" w:rsidR="00042917" w:rsidRDefault="00042917" w:rsidP="00042917"/>
          <w:p w14:paraId="644D1185" w14:textId="2E58592C" w:rsidR="00671284" w:rsidRPr="00501739" w:rsidRDefault="00BB2E48" w:rsidP="00042917">
            <w:pPr>
              <w:rPr>
                <w:rFonts w:cstheme="minorHAnsi"/>
              </w:rPr>
            </w:pPr>
            <w:r>
              <w:t xml:space="preserve">During lessons, </w:t>
            </w:r>
            <w:r w:rsidR="00042917" w:rsidRPr="7CEA1591">
              <w:t xml:space="preserve">KS2 pupils may mark work together to provide opportunities to discuss understanding and instant feedback to assist in gauging understanding. Following this, children will often undertake a ‘dong </w:t>
            </w:r>
            <w:proofErr w:type="spellStart"/>
            <w:r w:rsidR="00042917" w:rsidRPr="7CEA1591">
              <w:t>nao</w:t>
            </w:r>
            <w:proofErr w:type="spellEnd"/>
            <w:r w:rsidR="00042917" w:rsidRPr="7CEA1591">
              <w:t xml:space="preserve"> </w:t>
            </w:r>
            <w:proofErr w:type="spellStart"/>
            <w:r w:rsidR="00042917" w:rsidRPr="7CEA1591">
              <w:t>jin</w:t>
            </w:r>
            <w:proofErr w:type="spellEnd"/>
            <w:r w:rsidR="00042917" w:rsidRPr="7CEA1591">
              <w:t>’ question to promote a broader understanding of the topic.</w:t>
            </w:r>
          </w:p>
        </w:tc>
        <w:tc>
          <w:tcPr>
            <w:tcW w:w="1250" w:type="pct"/>
            <w:gridSpan w:val="2"/>
          </w:tcPr>
          <w:p w14:paraId="386E1A68" w14:textId="1FEA55EF" w:rsidR="00957294" w:rsidRPr="00F04C18" w:rsidRDefault="00957294" w:rsidP="00957294">
            <w:pPr>
              <w:rPr>
                <w:rFonts w:cstheme="minorHAnsi"/>
                <w:b/>
              </w:rPr>
            </w:pPr>
            <w:r w:rsidRPr="00F04C18">
              <w:rPr>
                <w:rFonts w:cstheme="minorHAnsi"/>
                <w:b/>
              </w:rPr>
              <w:t>Times tables</w:t>
            </w:r>
          </w:p>
          <w:p w14:paraId="39CEE200" w14:textId="77777777" w:rsidR="00F04C18" w:rsidRPr="00F04C18" w:rsidRDefault="00957294" w:rsidP="00957294">
            <w:pPr>
              <w:rPr>
                <w:rFonts w:cstheme="minorHAnsi"/>
              </w:rPr>
            </w:pPr>
            <w:r w:rsidRPr="00F04C18">
              <w:rPr>
                <w:rFonts w:cstheme="minorHAnsi"/>
              </w:rPr>
              <w:t>Regular, short times-tables activities take place in each class</w:t>
            </w:r>
            <w:r w:rsidR="00F4417C" w:rsidRPr="00F04C18">
              <w:rPr>
                <w:rFonts w:cstheme="minorHAnsi"/>
              </w:rPr>
              <w:t xml:space="preserve"> regularly</w:t>
            </w:r>
            <w:r w:rsidRPr="00F04C18">
              <w:rPr>
                <w:rFonts w:cstheme="minorHAnsi"/>
              </w:rPr>
              <w:t xml:space="preserve">. </w:t>
            </w:r>
            <w:r w:rsidRPr="00F04C18">
              <w:rPr>
                <w:rFonts w:cstheme="minorHAnsi"/>
                <w:b/>
                <w:bCs/>
                <w:color w:val="FF0000"/>
              </w:rPr>
              <w:t xml:space="preserve">All children from Year </w:t>
            </w:r>
            <w:r w:rsidR="00F4417C" w:rsidRPr="00F04C18">
              <w:rPr>
                <w:rFonts w:cstheme="minorHAnsi"/>
                <w:b/>
                <w:bCs/>
                <w:color w:val="FF0000"/>
              </w:rPr>
              <w:t>2</w:t>
            </w:r>
            <w:r w:rsidRPr="00F04C18">
              <w:rPr>
                <w:rFonts w:cstheme="minorHAnsi"/>
                <w:b/>
                <w:bCs/>
                <w:color w:val="FF0000"/>
              </w:rPr>
              <w:t xml:space="preserve"> upwards have access to Times Tables Rockstars (TTR),</w:t>
            </w:r>
            <w:r w:rsidRPr="00F04C18">
              <w:rPr>
                <w:rFonts w:cstheme="minorHAnsi"/>
                <w:color w:val="FF0000"/>
              </w:rPr>
              <w:t xml:space="preserve"> </w:t>
            </w:r>
            <w:r w:rsidRPr="00F04C18">
              <w:rPr>
                <w:rFonts w:cstheme="minorHAnsi"/>
              </w:rPr>
              <w:t xml:space="preserve">a web-based multiplication program which children can access both at home and school. </w:t>
            </w:r>
          </w:p>
          <w:p w14:paraId="1699424C" w14:textId="77777777" w:rsidR="00F04C18" w:rsidRPr="00F04C18" w:rsidRDefault="00F04C18" w:rsidP="00957294">
            <w:pPr>
              <w:rPr>
                <w:rFonts w:cstheme="minorHAnsi"/>
              </w:rPr>
            </w:pPr>
          </w:p>
          <w:p w14:paraId="7BA6027D" w14:textId="376CED57" w:rsidR="002E197D" w:rsidRPr="00D77B11" w:rsidRDefault="00957294" w:rsidP="00957294">
            <w:pPr>
              <w:rPr>
                <w:rFonts w:cstheme="minorHAnsi"/>
                <w:highlight w:val="yellow"/>
              </w:rPr>
            </w:pPr>
            <w:r w:rsidRPr="00F04C18">
              <w:rPr>
                <w:rFonts w:cstheme="minorHAnsi"/>
              </w:rPr>
              <w:t xml:space="preserve">Year 4 pupils practice for their MTC </w:t>
            </w:r>
            <w:r w:rsidR="00F04C18" w:rsidRPr="00F04C18">
              <w:rPr>
                <w:rFonts w:cstheme="minorHAnsi"/>
                <w:b/>
                <w:bCs/>
                <w:color w:val="FF0000"/>
              </w:rPr>
              <w:t xml:space="preserve">how? TBC!! </w:t>
            </w:r>
          </w:p>
        </w:tc>
        <w:tc>
          <w:tcPr>
            <w:tcW w:w="1250" w:type="pct"/>
            <w:gridSpan w:val="2"/>
          </w:tcPr>
          <w:p w14:paraId="10361878" w14:textId="57525567" w:rsidR="00957294" w:rsidRPr="00F4417C" w:rsidRDefault="00957294" w:rsidP="00957294">
            <w:pPr>
              <w:rPr>
                <w:rFonts w:cstheme="minorHAnsi"/>
                <w:b/>
              </w:rPr>
            </w:pPr>
            <w:r w:rsidRPr="00F4417C">
              <w:rPr>
                <w:rFonts w:cstheme="minorHAnsi"/>
                <w:b/>
              </w:rPr>
              <w:t>SEND, pre-teaching and mop-up maths</w:t>
            </w:r>
          </w:p>
          <w:p w14:paraId="2ABA7A2F" w14:textId="251B8438" w:rsidR="00FA3C53" w:rsidRPr="00D77B11" w:rsidRDefault="00957294" w:rsidP="00957294">
            <w:pPr>
              <w:rPr>
                <w:rFonts w:cstheme="minorHAnsi"/>
                <w:highlight w:val="yellow"/>
              </w:rPr>
            </w:pPr>
            <w:r w:rsidRPr="00F4417C">
              <w:rPr>
                <w:rFonts w:cstheme="minorHAnsi"/>
              </w:rPr>
              <w:t>Some individuals are specifically supported by additional adults, resources or differentiated activities in maths.  Learners who have not kept up with the rest of the class during the lesson also have an opportunity for ‘Mop-Up-Maths’ sessions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F4417C" w:rsidRDefault="00957294" w:rsidP="00957294">
            <w:pPr>
              <w:rPr>
                <w:rFonts w:cstheme="minorHAnsi"/>
                <w:b/>
              </w:rPr>
            </w:pPr>
            <w:r w:rsidRPr="00F4417C">
              <w:rPr>
                <w:rFonts w:cstheme="minorHAnsi"/>
                <w:b/>
              </w:rPr>
              <w:t>Calculation policy</w:t>
            </w:r>
          </w:p>
          <w:p w14:paraId="22193F4B" w14:textId="7F41CE2E" w:rsidR="00FB6D4F" w:rsidRPr="00D77B11" w:rsidRDefault="00957294" w:rsidP="00957294">
            <w:pPr>
              <w:rPr>
                <w:rFonts w:cstheme="minorHAnsi"/>
                <w:highlight w:val="yellow"/>
              </w:rPr>
            </w:pPr>
            <w:r w:rsidRPr="00F4417C">
              <w:rPr>
                <w:rFonts w:cstheme="minorHAnsi"/>
              </w:rPr>
              <w:t>Th</w:t>
            </w:r>
            <w:r w:rsidR="00D77B11" w:rsidRPr="00F4417C">
              <w:rPr>
                <w:rFonts w:cstheme="minorHAnsi"/>
              </w:rPr>
              <w:t>e</w:t>
            </w:r>
            <w:r w:rsidRPr="00F4417C">
              <w:rPr>
                <w:rFonts w:cstheme="minorHAnsi"/>
              </w:rPr>
              <w:t xml:space="preserve"> calculation policy</w:t>
            </w:r>
            <w:r w:rsidR="00D77B11" w:rsidRPr="00F4417C">
              <w:rPr>
                <w:rFonts w:cstheme="minorHAnsi"/>
              </w:rPr>
              <w:t xml:space="preserve"> (see separate document)</w:t>
            </w:r>
            <w:r w:rsidRPr="00F4417C">
              <w:rPr>
                <w:rFonts w:cstheme="minorHAnsi"/>
              </w:rPr>
              <w:t xml:space="preserve"> is a guide for teaching the progression of calculation strategies throughout primary education at </w:t>
            </w:r>
            <w:r w:rsidR="000E53AE" w:rsidRPr="00F4417C">
              <w:rPr>
                <w:rFonts w:cstheme="minorHAnsi"/>
              </w:rPr>
              <w:t>Yeoford</w:t>
            </w:r>
            <w:r w:rsidRPr="00F4417C">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544B06AE">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w:t>
            </w:r>
            <w:proofErr w:type="gramStart"/>
            <w:r w:rsidRPr="00D77B11">
              <w:rPr>
                <w:rFonts w:cstheme="minorHAnsi"/>
              </w:rPr>
              <w:t>challenged</w:t>
            </w:r>
            <w:proofErr w:type="gramEnd"/>
            <w:r w:rsidRPr="00D77B11">
              <w:rPr>
                <w:rFonts w:cstheme="minorHAnsi"/>
              </w:rPr>
              <w:t xml:space="preserve">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lastRenderedPageBreak/>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01873CF">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2BA2FDCA"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Elicitation tasks</w:t>
            </w:r>
          </w:p>
          <w:p w14:paraId="7D6F1E84" w14:textId="77777777" w:rsidR="00D77B11" w:rsidRPr="00D77B11" w:rsidRDefault="00D77B11" w:rsidP="00007055">
            <w:pPr>
              <w:textAlignment w:val="baseline"/>
              <w:rPr>
                <w:rFonts w:eastAsia="Times New Roman" w:cstheme="minorHAnsi"/>
                <w:lang w:eastAsia="en-GB"/>
              </w:rPr>
            </w:pPr>
          </w:p>
          <w:p w14:paraId="3C4452BD" w14:textId="7866B222"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6680C2C9" w14:textId="351F8D23" w:rsidR="00D77B11" w:rsidRPr="00D77B11" w:rsidRDefault="00D77B11" w:rsidP="008C3BD4">
            <w:pPr>
              <w:textAlignment w:val="baseline"/>
              <w:rPr>
                <w:rFonts w:eastAsia="Times New Roman" w:cstheme="minorHAnsi"/>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1DBB2BDB"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to CAPED and activities across the curriculum </w:t>
            </w:r>
          </w:p>
        </w:tc>
        <w:tc>
          <w:tcPr>
            <w:tcW w:w="1666"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73D9E48" w14:textId="076AE12B"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w:t>
            </w:r>
            <w:proofErr w:type="gramStart"/>
            <w:r w:rsidRPr="00270709">
              <w:rPr>
                <w:rFonts w:ascii="Calibri" w:hAnsi="Calibri" w:cs="Calibri"/>
                <w:sz w:val="18"/>
                <w:szCs w:val="18"/>
              </w:rPr>
              <w:t>fives</w:t>
            </w:r>
            <w:proofErr w:type="gramEnd"/>
            <w:r w:rsidRPr="00270709">
              <w:rPr>
                <w:rFonts w:ascii="Calibri" w:hAnsi="Calibri" w:cs="Calibri"/>
                <w:sz w:val="18"/>
                <w:szCs w:val="18"/>
              </w:rPr>
              <w:t xml:space="preserve">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Identifying, </w:t>
            </w:r>
            <w:proofErr w:type="gramStart"/>
            <w:r w:rsidRPr="00270709">
              <w:rPr>
                <w:rFonts w:cs="Calibri"/>
                <w:b/>
                <w:color w:val="FFFFFF"/>
                <w:sz w:val="28"/>
                <w:szCs w:val="28"/>
              </w:rPr>
              <w:t>representing</w:t>
            </w:r>
            <w:proofErr w:type="gramEnd"/>
            <w:r w:rsidRPr="00270709">
              <w:rPr>
                <w:rFonts w:cs="Calibri"/>
                <w:b/>
                <w:color w:val="FFFFFF"/>
                <w:sz w:val="28"/>
                <w:szCs w:val="28"/>
              </w:rPr>
              <w:t xml:space="preserve">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and use thousandths and relate them to tenths, </w:t>
            </w:r>
            <w:proofErr w:type="gramStart"/>
            <w:r w:rsidRPr="00270709">
              <w:rPr>
                <w:rFonts w:cs="Calibri"/>
                <w:i/>
                <w:sz w:val="18"/>
                <w:szCs w:val="18"/>
              </w:rPr>
              <w:t>hundredths</w:t>
            </w:r>
            <w:proofErr w:type="gramEnd"/>
            <w:r w:rsidRPr="00270709">
              <w:rPr>
                <w:rFonts w:cs="Calibri"/>
                <w:i/>
                <w:sz w:val="18"/>
                <w:szCs w:val="18"/>
              </w:rPr>
              <w:t xml:space="preserve">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find the effect of dividing a one- or two-digit number by 10 and 100, identifying the value of the digits in the answer as units, </w:t>
            </w:r>
            <w:proofErr w:type="gramStart"/>
            <w:r w:rsidRPr="00270709">
              <w:rPr>
                <w:rFonts w:ascii="Calibri" w:hAnsi="Calibri" w:cs="Calibri"/>
                <w:i/>
                <w:sz w:val="18"/>
                <w:szCs w:val="18"/>
              </w:rPr>
              <w:t>tenths</w:t>
            </w:r>
            <w:proofErr w:type="gramEnd"/>
            <w:r w:rsidRPr="00270709">
              <w:rPr>
                <w:rFonts w:ascii="Calibri" w:hAnsi="Calibri" w:cs="Calibri"/>
                <w:i/>
                <w:sz w:val="18"/>
                <w:szCs w:val="18"/>
              </w:rPr>
              <w:t xml:space="preserve">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lastRenderedPageBreak/>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lastRenderedPageBreak/>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proofErr w:type="gramStart"/>
            <w:r w:rsidRPr="00270709">
              <w:rPr>
                <w:rFonts w:ascii="Calibri" w:hAnsi="Calibri" w:cs="Calibri"/>
                <w:sz w:val="18"/>
                <w:szCs w:val="18"/>
              </w:rPr>
              <w:t>quantities</w:t>
            </w:r>
            <w:proofErr w:type="gramEnd"/>
            <w:r w:rsidRPr="00270709">
              <w:rPr>
                <w:rFonts w:ascii="Calibri" w:hAnsi="Calibri" w:cs="Calibri"/>
                <w:sz w:val="18"/>
                <w:szCs w:val="18"/>
              </w:rPr>
              <w:t xml:space="preserve">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count in multiples of twos, </w:t>
            </w:r>
            <w:proofErr w:type="gramStart"/>
            <w:r w:rsidRPr="00270709">
              <w:rPr>
                <w:rFonts w:ascii="Calibri" w:hAnsi="Calibri" w:cs="Calibri"/>
                <w:i/>
                <w:sz w:val="18"/>
                <w:szCs w:val="18"/>
              </w:rPr>
              <w:t>fives</w:t>
            </w:r>
            <w:proofErr w:type="gramEnd"/>
            <w:r w:rsidRPr="00270709">
              <w:rPr>
                <w:rFonts w:ascii="Calibri" w:hAnsi="Calibri" w:cs="Calibri"/>
                <w:i/>
                <w:sz w:val="18"/>
                <w:szCs w:val="18"/>
              </w:rPr>
              <w:t xml:space="preserve">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w:t>
            </w:r>
            <w:proofErr w:type="gramStart"/>
            <w:r w:rsidRPr="00270709">
              <w:rPr>
                <w:rFonts w:ascii="Calibri" w:hAnsi="Calibri" w:cs="Calibri"/>
                <w:sz w:val="18"/>
                <w:szCs w:val="18"/>
              </w:rPr>
              <w:t>multiples</w:t>
            </w:r>
            <w:proofErr w:type="gramEnd"/>
            <w:r w:rsidRPr="00270709">
              <w:rPr>
                <w:rFonts w:ascii="Calibri" w:hAnsi="Calibri" w:cs="Calibri"/>
                <w:sz w:val="18"/>
                <w:szCs w:val="18"/>
              </w:rPr>
              <w:t xml:space="preserve">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know and use the vocabulary of prime numbers, prime </w:t>
            </w:r>
            <w:proofErr w:type="gramStart"/>
            <w:r w:rsidRPr="00270709">
              <w:rPr>
                <w:rFonts w:ascii="Calibri" w:hAnsi="Calibri" w:cs="Calibri"/>
                <w:sz w:val="18"/>
                <w:szCs w:val="18"/>
              </w:rPr>
              <w:t>factors</w:t>
            </w:r>
            <w:proofErr w:type="gramEnd"/>
            <w:r w:rsidRPr="00270709">
              <w:rPr>
                <w:rFonts w:ascii="Calibri" w:hAnsi="Calibri" w:cs="Calibri"/>
                <w:sz w:val="18"/>
                <w:szCs w:val="18"/>
              </w:rPr>
              <w:t xml:space="preserve">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 xml:space="preserve">calculate, </w:t>
            </w:r>
            <w:proofErr w:type="gramStart"/>
            <w:r w:rsidRPr="00270709">
              <w:rPr>
                <w:rFonts w:ascii="Calibri" w:hAnsi="Calibri" w:cs="Calibri"/>
                <w:i/>
                <w:sz w:val="16"/>
                <w:szCs w:val="16"/>
              </w:rPr>
              <w:t>estimate</w:t>
            </w:r>
            <w:proofErr w:type="gramEnd"/>
            <w:r w:rsidRPr="00270709">
              <w:rPr>
                <w:rFonts w:ascii="Calibri" w:hAnsi="Calibri" w:cs="Calibri"/>
                <w:i/>
                <w:sz w:val="16"/>
                <w:szCs w:val="16"/>
              </w:rPr>
              <w:t xml:space="preserv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one-step problems involving multiplication and division, by calculating the answer using concrete objects, pictorial </w:t>
            </w:r>
            <w:proofErr w:type="gramStart"/>
            <w:r w:rsidRPr="00270709">
              <w:rPr>
                <w:rFonts w:cs="Calibri"/>
                <w:sz w:val="18"/>
                <w:szCs w:val="18"/>
              </w:rPr>
              <w:t>representations</w:t>
            </w:r>
            <w:proofErr w:type="gramEnd"/>
            <w:r w:rsidRPr="00270709">
              <w:rPr>
                <w:rFonts w:cs="Calibri"/>
                <w:sz w:val="18"/>
                <w:szCs w:val="18"/>
              </w:rPr>
              <w:t xml:space="preserve">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w:t>
            </w:r>
            <w:proofErr w:type="gramStart"/>
            <w:r w:rsidRPr="00270709">
              <w:rPr>
                <w:rFonts w:ascii="Calibri" w:hAnsi="Calibri" w:cs="Calibri"/>
                <w:sz w:val="18"/>
                <w:szCs w:val="18"/>
              </w:rPr>
              <w:t>squares</w:t>
            </w:r>
            <w:proofErr w:type="gramEnd"/>
            <w:r w:rsidRPr="00270709">
              <w:rPr>
                <w:rFonts w:ascii="Calibri" w:hAnsi="Calibri" w:cs="Calibri"/>
                <w:sz w:val="18"/>
                <w:szCs w:val="18"/>
              </w:rPr>
              <w:t xml:space="preserve">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w:t>
            </w:r>
            <w:proofErr w:type="gramStart"/>
            <w:r w:rsidRPr="00270709">
              <w:rPr>
                <w:rFonts w:cs="Calibri"/>
                <w:b/>
                <w:color w:val="FFFFFF"/>
                <w:sz w:val="28"/>
                <w:szCs w:val="28"/>
              </w:rPr>
              <w:t>decimals</w:t>
            </w:r>
            <w:proofErr w:type="gramEnd"/>
            <w:r w:rsidRPr="00270709">
              <w:rPr>
                <w:rFonts w:cs="Calibri"/>
                <w:b/>
                <w:color w:val="FFFFFF"/>
                <w:sz w:val="28"/>
                <w:szCs w:val="28"/>
              </w:rPr>
              <w:t xml:space="preserve">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recall and use equivalences between simple fractions, </w:t>
            </w:r>
            <w:proofErr w:type="gramStart"/>
            <w:r w:rsidRPr="00270709">
              <w:rPr>
                <w:rFonts w:cs="Calibri"/>
                <w:sz w:val="18"/>
                <w:szCs w:val="18"/>
              </w:rPr>
              <w:t>decimals</w:t>
            </w:r>
            <w:proofErr w:type="gramEnd"/>
            <w:r w:rsidRPr="00270709">
              <w:rPr>
                <w:rFonts w:cs="Calibri"/>
                <w:sz w:val="18"/>
                <w:szCs w:val="18"/>
              </w:rPr>
              <w:t xml:space="preserve">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w:t>
            </w:r>
            <w:proofErr w:type="gramStart"/>
            <w:r w:rsidRPr="00270709">
              <w:rPr>
                <w:rFonts w:ascii="Calibri" w:hAnsi="Calibri" w:cs="Calibri"/>
                <w:sz w:val="18"/>
                <w:szCs w:val="18"/>
              </w:rPr>
              <w:t>tenths</w:t>
            </w:r>
            <w:proofErr w:type="gramEnd"/>
            <w:r w:rsidRPr="00270709">
              <w:rPr>
                <w:rFonts w:ascii="Calibri" w:hAnsi="Calibri" w:cs="Calibri"/>
                <w:sz w:val="18"/>
                <w:szCs w:val="18"/>
              </w:rPr>
              <w:t xml:space="preserve">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lastRenderedPageBreak/>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sequence events in chronological order using language such as: before and after, next, first, today, yesterday, tomorrow, morning, </w:t>
            </w:r>
            <w:proofErr w:type="gramStart"/>
            <w:r w:rsidRPr="00270709">
              <w:rPr>
                <w:rFonts w:ascii="Calibri" w:hAnsi="Calibri" w:cs="Calibri"/>
                <w:i/>
                <w:sz w:val="18"/>
                <w:szCs w:val="18"/>
              </w:rPr>
              <w:t>afternoon</w:t>
            </w:r>
            <w:proofErr w:type="gramEnd"/>
            <w:r w:rsidRPr="00270709">
              <w:rPr>
                <w:rFonts w:ascii="Calibri" w:hAnsi="Calibri" w:cs="Calibri"/>
                <w:i/>
                <w:sz w:val="18"/>
                <w:szCs w:val="18"/>
              </w:rPr>
              <w:t xml:space="preserve">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calculate, </w:t>
            </w:r>
            <w:proofErr w:type="gramStart"/>
            <w:r w:rsidRPr="00270709">
              <w:rPr>
                <w:rFonts w:cs="Calibri"/>
                <w:bCs/>
                <w:sz w:val="18"/>
                <w:szCs w:val="18"/>
              </w:rPr>
              <w:t>estimate</w:t>
            </w:r>
            <w:proofErr w:type="gramEnd"/>
            <w:r w:rsidRPr="00270709">
              <w:rPr>
                <w:rFonts w:cs="Calibri"/>
                <w:bCs/>
                <w:sz w:val="18"/>
                <w:szCs w:val="18"/>
              </w:rPr>
              <w:t xml:space="preserv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w:t>
            </w:r>
            <w:r w:rsidRPr="00270709">
              <w:rPr>
                <w:rFonts w:ascii="Calibri" w:hAnsi="Calibri" w:cs="Calibri"/>
                <w:bCs/>
                <w:sz w:val="18"/>
                <w:szCs w:val="18"/>
              </w:rPr>
              <w:lastRenderedPageBreak/>
              <w:t>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calculate and compare the area of squares and rectangles </w:t>
            </w:r>
            <w:r w:rsidRPr="00270709">
              <w:rPr>
                <w:rFonts w:ascii="Calibri" w:hAnsi="Calibri" w:cs="Calibri"/>
                <w:bCs/>
                <w:sz w:val="18"/>
                <w:szCs w:val="18"/>
              </w:rPr>
              <w:lastRenderedPageBreak/>
              <w:t>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use language relating to dates, including days of the week, weeks, </w:t>
            </w:r>
            <w:proofErr w:type="gramStart"/>
            <w:r w:rsidRPr="00270709">
              <w:rPr>
                <w:rFonts w:ascii="Calibri" w:hAnsi="Calibri" w:cs="Calibri"/>
                <w:bCs/>
                <w:sz w:val="18"/>
                <w:szCs w:val="18"/>
              </w:rPr>
              <w:t>months</w:t>
            </w:r>
            <w:proofErr w:type="gramEnd"/>
            <w:r w:rsidRPr="00270709">
              <w:rPr>
                <w:rFonts w:ascii="Calibri" w:hAnsi="Calibri" w:cs="Calibri"/>
                <w:bCs/>
                <w:sz w:val="18"/>
                <w:szCs w:val="18"/>
              </w:rPr>
              <w:t xml:space="preserve">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w:t>
            </w:r>
            <w:proofErr w:type="gramStart"/>
            <w:r w:rsidRPr="00270709">
              <w:rPr>
                <w:rFonts w:ascii="Calibri" w:hAnsi="Calibri" w:cs="Calibri"/>
                <w:bCs/>
                <w:sz w:val="18"/>
                <w:szCs w:val="18"/>
              </w:rPr>
              <w:t>pounds</w:t>
            </w:r>
            <w:proofErr w:type="gramEnd"/>
            <w:r w:rsidRPr="00270709">
              <w:rPr>
                <w:rFonts w:ascii="Calibri" w:hAnsi="Calibri" w:cs="Calibri"/>
                <w:bCs/>
                <w:sz w:val="18"/>
                <w:szCs w:val="18"/>
              </w:rPr>
              <w:t xml:space="preserve">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angles are measured in degrees: estimate and compare acute, </w:t>
            </w:r>
            <w:proofErr w:type="gramStart"/>
            <w:r w:rsidRPr="00270709">
              <w:rPr>
                <w:rFonts w:ascii="Calibri" w:hAnsi="Calibri" w:cs="Calibri"/>
                <w:bCs/>
                <w:sz w:val="18"/>
                <w:szCs w:val="18"/>
              </w:rPr>
              <w:t>obtuse</w:t>
            </w:r>
            <w:proofErr w:type="gramEnd"/>
            <w:r w:rsidRPr="00270709">
              <w:rPr>
                <w:rFonts w:ascii="Calibri" w:hAnsi="Calibri" w:cs="Calibri"/>
                <w:bCs/>
                <w:sz w:val="18"/>
                <w:szCs w:val="18"/>
              </w:rPr>
              <w:t xml:space="preserv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Position, </w:t>
            </w:r>
            <w:proofErr w:type="gramStart"/>
            <w:r w:rsidRPr="00270709">
              <w:rPr>
                <w:rFonts w:cs="Calibri"/>
                <w:b/>
                <w:color w:val="FFFFFF"/>
                <w:sz w:val="28"/>
                <w:szCs w:val="28"/>
              </w:rPr>
              <w:t>direction</w:t>
            </w:r>
            <w:proofErr w:type="gramEnd"/>
            <w:r w:rsidRPr="00270709">
              <w:rPr>
                <w:rFonts w:cs="Calibri"/>
                <w:b/>
                <w:color w:val="FFFFFF"/>
                <w:sz w:val="28"/>
                <w:szCs w:val="28"/>
              </w:rPr>
              <w:t xml:space="preserve">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 </w:t>
            </w:r>
            <w:proofErr w:type="gramStart"/>
            <w:r w:rsidRPr="00270709">
              <w:rPr>
                <w:rFonts w:ascii="Calibri" w:hAnsi="Calibri" w:cs="Calibri"/>
                <w:bCs/>
                <w:sz w:val="18"/>
                <w:szCs w:val="18"/>
              </w:rPr>
              <w:t>direction</w:t>
            </w:r>
            <w:proofErr w:type="gramEnd"/>
            <w:r w:rsidRPr="00270709">
              <w:rPr>
                <w:rFonts w:ascii="Calibri" w:hAnsi="Calibri" w:cs="Calibri"/>
                <w:bCs/>
                <w:sz w:val="18"/>
                <w:szCs w:val="18"/>
              </w:rPr>
              <w:t xml:space="preserve">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w:t>
            </w:r>
            <w:proofErr w:type="gramStart"/>
            <w:r w:rsidRPr="00270709">
              <w:rPr>
                <w:rFonts w:ascii="Calibri" w:hAnsi="Calibri" w:cs="Calibri"/>
                <w:bCs/>
                <w:sz w:val="18"/>
                <w:szCs w:val="18"/>
              </w:rPr>
              <w:t>half</w:t>
            </w:r>
            <w:proofErr w:type="gramEnd"/>
            <w:r w:rsidRPr="00270709">
              <w:rPr>
                <w:rFonts w:ascii="Calibri" w:hAnsi="Calibri" w:cs="Calibri"/>
                <w:bCs/>
                <w:sz w:val="18"/>
                <w:szCs w:val="18"/>
              </w:rPr>
              <w:t xml:space="preserve">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Interpreting, </w:t>
            </w:r>
            <w:proofErr w:type="gramStart"/>
            <w:r w:rsidRPr="00270709">
              <w:rPr>
                <w:rFonts w:cs="Calibri"/>
                <w:b/>
                <w:color w:val="FFFFFF"/>
                <w:sz w:val="28"/>
                <w:szCs w:val="28"/>
              </w:rPr>
              <w:t>constructing</w:t>
            </w:r>
            <w:proofErr w:type="gramEnd"/>
            <w:r w:rsidRPr="00270709">
              <w:rPr>
                <w:rFonts w:cs="Calibri"/>
                <w:b/>
                <w:color w:val="FFFFFF"/>
                <w:sz w:val="28"/>
                <w:szCs w:val="28"/>
              </w:rPr>
              <w:t xml:space="preserve">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w:t>
            </w:r>
            <w:proofErr w:type="gramStart"/>
            <w:r w:rsidRPr="00270709">
              <w:rPr>
                <w:rFonts w:ascii="Calibri" w:hAnsi="Calibri" w:cs="Calibri"/>
                <w:bCs/>
                <w:sz w:val="18"/>
                <w:szCs w:val="18"/>
              </w:rPr>
              <w:t>pictograms</w:t>
            </w:r>
            <w:proofErr w:type="gramEnd"/>
            <w:r w:rsidRPr="00270709">
              <w:rPr>
                <w:rFonts w:ascii="Calibri" w:hAnsi="Calibri" w:cs="Calibri"/>
                <w:bCs/>
                <w:sz w:val="18"/>
                <w:szCs w:val="18"/>
              </w:rPr>
              <w:t xml:space="preserve">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bar charts, pictograms, </w:t>
            </w:r>
            <w:proofErr w:type="gramStart"/>
            <w:r w:rsidRPr="00270709">
              <w:rPr>
                <w:rFonts w:ascii="Calibri" w:hAnsi="Calibri" w:cs="Calibri"/>
                <w:bCs/>
                <w:sz w:val="18"/>
                <w:szCs w:val="18"/>
              </w:rPr>
              <w:t>tables</w:t>
            </w:r>
            <w:proofErr w:type="gramEnd"/>
            <w:r w:rsidRPr="00270709">
              <w:rPr>
                <w:rFonts w:ascii="Calibri" w:hAnsi="Calibri" w:cs="Calibri"/>
                <w:bCs/>
                <w:sz w:val="18"/>
                <w:szCs w:val="18"/>
              </w:rPr>
              <w:t xml:space="preserve">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42917"/>
    <w:rsid w:val="000508B4"/>
    <w:rsid w:val="00060F4B"/>
    <w:rsid w:val="00062859"/>
    <w:rsid w:val="0007046C"/>
    <w:rsid w:val="0007572E"/>
    <w:rsid w:val="0007685A"/>
    <w:rsid w:val="00076EAF"/>
    <w:rsid w:val="000933F2"/>
    <w:rsid w:val="00095BCF"/>
    <w:rsid w:val="000975E9"/>
    <w:rsid w:val="000B1D1F"/>
    <w:rsid w:val="000B23CF"/>
    <w:rsid w:val="000C0FD7"/>
    <w:rsid w:val="000C6B7C"/>
    <w:rsid w:val="000E53AE"/>
    <w:rsid w:val="000F053B"/>
    <w:rsid w:val="00101A71"/>
    <w:rsid w:val="00107A29"/>
    <w:rsid w:val="00117B82"/>
    <w:rsid w:val="00131FDC"/>
    <w:rsid w:val="00155DD6"/>
    <w:rsid w:val="001641FD"/>
    <w:rsid w:val="00186612"/>
    <w:rsid w:val="001873CF"/>
    <w:rsid w:val="001E1FDB"/>
    <w:rsid w:val="0023112F"/>
    <w:rsid w:val="002519DF"/>
    <w:rsid w:val="00273693"/>
    <w:rsid w:val="002754A6"/>
    <w:rsid w:val="00293A98"/>
    <w:rsid w:val="002D5BBF"/>
    <w:rsid w:val="002E05B0"/>
    <w:rsid w:val="002E197D"/>
    <w:rsid w:val="002E43CA"/>
    <w:rsid w:val="0032556B"/>
    <w:rsid w:val="00326E82"/>
    <w:rsid w:val="003772E0"/>
    <w:rsid w:val="003945D5"/>
    <w:rsid w:val="00397DC1"/>
    <w:rsid w:val="003A11BF"/>
    <w:rsid w:val="003A50EB"/>
    <w:rsid w:val="003C46AE"/>
    <w:rsid w:val="003C73D6"/>
    <w:rsid w:val="003E1CA9"/>
    <w:rsid w:val="003E1D40"/>
    <w:rsid w:val="003E4254"/>
    <w:rsid w:val="00410037"/>
    <w:rsid w:val="004115EF"/>
    <w:rsid w:val="00420332"/>
    <w:rsid w:val="00431C42"/>
    <w:rsid w:val="00465C5F"/>
    <w:rsid w:val="00490172"/>
    <w:rsid w:val="004C3505"/>
    <w:rsid w:val="004D2EA1"/>
    <w:rsid w:val="00501739"/>
    <w:rsid w:val="00505475"/>
    <w:rsid w:val="0055165F"/>
    <w:rsid w:val="0056789C"/>
    <w:rsid w:val="00581241"/>
    <w:rsid w:val="0058203D"/>
    <w:rsid w:val="00592CDE"/>
    <w:rsid w:val="005A07B1"/>
    <w:rsid w:val="005B3050"/>
    <w:rsid w:val="005B6EC1"/>
    <w:rsid w:val="005C5714"/>
    <w:rsid w:val="005C6C46"/>
    <w:rsid w:val="005D01D8"/>
    <w:rsid w:val="005D116B"/>
    <w:rsid w:val="005D57D5"/>
    <w:rsid w:val="005E23EC"/>
    <w:rsid w:val="005F1E26"/>
    <w:rsid w:val="005F3024"/>
    <w:rsid w:val="0060262F"/>
    <w:rsid w:val="00620084"/>
    <w:rsid w:val="0062253D"/>
    <w:rsid w:val="00623006"/>
    <w:rsid w:val="00642445"/>
    <w:rsid w:val="00651D9A"/>
    <w:rsid w:val="00671284"/>
    <w:rsid w:val="0067401D"/>
    <w:rsid w:val="006920B3"/>
    <w:rsid w:val="00694DE1"/>
    <w:rsid w:val="007275BA"/>
    <w:rsid w:val="007416F7"/>
    <w:rsid w:val="00771503"/>
    <w:rsid w:val="007C4E2C"/>
    <w:rsid w:val="007F0E08"/>
    <w:rsid w:val="0080731D"/>
    <w:rsid w:val="00815F9E"/>
    <w:rsid w:val="00823E92"/>
    <w:rsid w:val="00834CE0"/>
    <w:rsid w:val="008361EA"/>
    <w:rsid w:val="00841C01"/>
    <w:rsid w:val="00864071"/>
    <w:rsid w:val="00865097"/>
    <w:rsid w:val="008A44DB"/>
    <w:rsid w:val="008C3BD4"/>
    <w:rsid w:val="008D2A63"/>
    <w:rsid w:val="008D5696"/>
    <w:rsid w:val="008F233F"/>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F1277"/>
    <w:rsid w:val="009F1B1B"/>
    <w:rsid w:val="009F7E58"/>
    <w:rsid w:val="00A23127"/>
    <w:rsid w:val="00A432AE"/>
    <w:rsid w:val="00A50EA4"/>
    <w:rsid w:val="00A516F2"/>
    <w:rsid w:val="00A635F1"/>
    <w:rsid w:val="00A81F26"/>
    <w:rsid w:val="00A90090"/>
    <w:rsid w:val="00AA77DE"/>
    <w:rsid w:val="00AB0661"/>
    <w:rsid w:val="00B06854"/>
    <w:rsid w:val="00B2159A"/>
    <w:rsid w:val="00B303C2"/>
    <w:rsid w:val="00B52BE4"/>
    <w:rsid w:val="00B667CA"/>
    <w:rsid w:val="00B91EB8"/>
    <w:rsid w:val="00BB2E48"/>
    <w:rsid w:val="00BC2F92"/>
    <w:rsid w:val="00BD0A40"/>
    <w:rsid w:val="00BD5F3E"/>
    <w:rsid w:val="00BE0622"/>
    <w:rsid w:val="00BE44EC"/>
    <w:rsid w:val="00BF36CA"/>
    <w:rsid w:val="00C07753"/>
    <w:rsid w:val="00C17E90"/>
    <w:rsid w:val="00C743BB"/>
    <w:rsid w:val="00C759CE"/>
    <w:rsid w:val="00C83ACB"/>
    <w:rsid w:val="00C945A3"/>
    <w:rsid w:val="00CA208F"/>
    <w:rsid w:val="00CD25D9"/>
    <w:rsid w:val="00CF40FE"/>
    <w:rsid w:val="00CF7BBE"/>
    <w:rsid w:val="00D03D07"/>
    <w:rsid w:val="00D06857"/>
    <w:rsid w:val="00D102D6"/>
    <w:rsid w:val="00D44DC9"/>
    <w:rsid w:val="00D77B11"/>
    <w:rsid w:val="00D86F9F"/>
    <w:rsid w:val="00D87D55"/>
    <w:rsid w:val="00DA32A6"/>
    <w:rsid w:val="00DB7707"/>
    <w:rsid w:val="00DD5A80"/>
    <w:rsid w:val="00E0041E"/>
    <w:rsid w:val="00E23609"/>
    <w:rsid w:val="00E34ABE"/>
    <w:rsid w:val="00E375D8"/>
    <w:rsid w:val="00E37A7A"/>
    <w:rsid w:val="00E510BF"/>
    <w:rsid w:val="00E86551"/>
    <w:rsid w:val="00EB6BBE"/>
    <w:rsid w:val="00EC025B"/>
    <w:rsid w:val="00ED2963"/>
    <w:rsid w:val="00EE3E15"/>
    <w:rsid w:val="00EF2269"/>
    <w:rsid w:val="00EF54E4"/>
    <w:rsid w:val="00F025DF"/>
    <w:rsid w:val="00F04C18"/>
    <w:rsid w:val="00F21CD0"/>
    <w:rsid w:val="00F263B1"/>
    <w:rsid w:val="00F4417C"/>
    <w:rsid w:val="00F44B7B"/>
    <w:rsid w:val="00F61CB3"/>
    <w:rsid w:val="00F83581"/>
    <w:rsid w:val="00F9501A"/>
    <w:rsid w:val="00F95B8D"/>
    <w:rsid w:val="00F97416"/>
    <w:rsid w:val="00FA1C90"/>
    <w:rsid w:val="00FA35D0"/>
    <w:rsid w:val="00FA3C53"/>
    <w:rsid w:val="00FA4B00"/>
    <w:rsid w:val="00FB6D4F"/>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A648410F33D4CB3B047EAEC19C210" ma:contentTypeVersion="11" ma:contentTypeDescription="Create a new document." ma:contentTypeScope="" ma:versionID="832eeb439067145d1a114e2668ac5718">
  <xsd:schema xmlns:xsd="http://www.w3.org/2001/XMLSchema" xmlns:xs="http://www.w3.org/2001/XMLSchema" xmlns:p="http://schemas.microsoft.com/office/2006/metadata/properties" xmlns:ns2="be60373e-0656-4ede-9ae1-4637eaeb7f70" targetNamespace="http://schemas.microsoft.com/office/2006/metadata/properties" ma:root="true" ma:fieldsID="abb24ddb4c2c65913732d0d1d6447ffb" ns2:_="">
    <xsd:import namespace="be60373e-0656-4ede-9ae1-4637eaeb7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0373e-0656-4ede-9ae1-4637eaeb7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DA435-F8A5-49C7-989A-94422377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0373e-0656-4ede-9ae1-4637eaeb7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F1343B27-E81E-4408-9E55-DC7A56B3F529}">
  <ds:schemaRefs>
    <ds:schemaRef ds:uri="http://schemas.openxmlformats.org/officeDocument/2006/bibliography"/>
  </ds:schemaRefs>
</ds:datastoreItem>
</file>

<file path=customXml/itemProps4.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6721</Words>
  <Characters>38314</Characters>
  <Application>Microsoft Office Word</Application>
  <DocSecurity>0</DocSecurity>
  <Lines>319</Lines>
  <Paragraphs>89</Paragraphs>
  <ScaleCrop>false</ScaleCrop>
  <Company>Ilfracombe Juniors</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Gemma Martin</cp:lastModifiedBy>
  <cp:revision>64</cp:revision>
  <cp:lastPrinted>2020-06-08T08:51:00Z</cp:lastPrinted>
  <dcterms:created xsi:type="dcterms:W3CDTF">2021-11-11T08:41:00Z</dcterms:created>
  <dcterms:modified xsi:type="dcterms:W3CDTF">2022-02-18T08:45:00Z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0x010100901A648410F33D4CB3B047EAEC19C210</vt:lpwstr>
  </property>
</Properties>
</file>